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20" w:before="220" w:line="240" w:lineRule="auto"/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sz w:val="28"/>
          <w:szCs w:val="28"/>
          <w:highlight w:val="white"/>
          <w:rtl w:val="0"/>
        </w:rPr>
        <w:t xml:space="preserve">Visual Art</w:t>
        <w:tab/>
        <w:tab/>
        <w:tab/>
        <w:tab/>
        <w:tab/>
        <w:tab/>
        <w:tab/>
        <w:t xml:space="preserve">Lindsey Foushee</w:t>
      </w:r>
    </w:p>
    <w:p w:rsidR="00000000" w:rsidDel="00000000" w:rsidP="00000000" w:rsidRDefault="00000000" w:rsidRPr="00000000">
      <w:pPr>
        <w:spacing w:after="220" w:before="220" w:line="240" w:lineRule="auto"/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sz w:val="24"/>
          <w:szCs w:val="24"/>
          <w:highlight w:val="white"/>
          <w:rtl w:val="0"/>
        </w:rPr>
        <w:t xml:space="preserve">Ceramics &amp; Sculpture</w:t>
        <w:tab/>
        <w:tab/>
        <w:tab/>
        <w:tab/>
        <w:t xml:space="preserve">MsFousheesArtRoom.weebly.com</w:t>
      </w:r>
    </w:p>
    <w:p w:rsidR="00000000" w:rsidDel="00000000" w:rsidP="00000000" w:rsidRDefault="00000000" w:rsidRPr="00000000">
      <w:pPr>
        <w:spacing w:after="220" w:before="220" w:line="240" w:lineRule="auto"/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sz w:val="24"/>
          <w:szCs w:val="24"/>
          <w:highlight w:val="whit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>
      <w:pPr>
        <w:spacing w:after="220" w:before="22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20" w:before="220" w:line="24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Students in Ceramics &amp; Sculpture will spend the 9 weeks practicing different methods of 3D construction. A thorough understanding of appropriate terminology is expected, as well as demonstrated mastery of creating forms using different media.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after="220" w:before="220" w:line="36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At the end of the term, students should know:</w:t>
        <w:br w:type="textWrapping"/>
        <w:tab/>
        <w:t xml:space="preserve">Ceramics vocabulary and process </w:t>
        <w:br w:type="textWrapping"/>
        <w:tab/>
        <w:t xml:space="preserve">2 ceramics construction techniques </w:t>
        <w:br w:type="textWrapping"/>
        <w:tab/>
        <w:t xml:space="preserve">2 additional 3D construction techniques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20" w:before="22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20" w:before="220" w:line="24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Project List:</w:t>
      </w:r>
    </w:p>
    <w:p w:rsidR="00000000" w:rsidDel="00000000" w:rsidP="00000000" w:rsidRDefault="00000000" w:rsidRPr="00000000">
      <w:pPr>
        <w:spacing w:after="220" w:before="220" w:line="24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Project 1: Tiny Cups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- practice multiple techniques and basic skills to create a teacup</w:t>
      </w:r>
    </w:p>
    <w:p w:rsidR="00000000" w:rsidDel="00000000" w:rsidP="00000000" w:rsidRDefault="00000000" w:rsidRPr="00000000">
      <w:pPr>
        <w:spacing w:after="220" w:before="22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20" w:before="220" w:line="24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Project 2: Bell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- use the pinch pot technique to create a functioning handbell that is decorated to celebrate an event in your life</w:t>
      </w:r>
    </w:p>
    <w:p w:rsidR="00000000" w:rsidDel="00000000" w:rsidP="00000000" w:rsidRDefault="00000000" w:rsidRPr="00000000">
      <w:pPr>
        <w:spacing w:after="220" w:before="22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20" w:before="220" w:line="24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Project 3: Bobble Heads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- using a pinch pot, construct a bobble head that demonstrates interesting “360” design and physical balance</w:t>
      </w:r>
    </w:p>
    <w:p w:rsidR="00000000" w:rsidDel="00000000" w:rsidP="00000000" w:rsidRDefault="00000000" w:rsidRPr="00000000">
      <w:pPr>
        <w:spacing w:after="220" w:before="22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20" w:before="220" w:line="24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Project 4: Slab Boxes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- learn the slab technique to make a rectangular box with a lid</w:t>
      </w:r>
    </w:p>
    <w:p w:rsidR="00000000" w:rsidDel="00000000" w:rsidP="00000000" w:rsidRDefault="00000000" w:rsidRPr="00000000">
      <w:pPr>
        <w:spacing w:after="220" w:before="22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20" w:before="220" w:line="24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Project 5: Soft Paper Sculpture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- use newspaper to create a soft sculpture of oversized food in the style of Claes Oldenburg</w:t>
      </w:r>
    </w:p>
    <w:p w:rsidR="00000000" w:rsidDel="00000000" w:rsidP="00000000" w:rsidRDefault="00000000" w:rsidRPr="00000000">
      <w:pPr>
        <w:spacing w:after="220" w:before="22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20" w:before="22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20" w:before="220" w:line="24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If time allows at the end of the quarter, an additional project may be added. </w:t>
      </w:r>
    </w:p>
    <w:p w:rsidR="00000000" w:rsidDel="00000000" w:rsidP="00000000" w:rsidRDefault="00000000" w:rsidRPr="00000000">
      <w:pPr>
        <w:spacing w:after="220" w:before="220" w:line="24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** Grades for ceramic pieces will not be posted on Powerschool until the final step in the process is complete (final glaze and fire)</w:t>
      </w:r>
    </w:p>
    <w:sectPr>
      <w:pgSz w:h="15840" w:w="122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Walter Turncoa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WalterTurncoat-regular.ttf"/></Relationships>
</file>